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9D" w:rsidRDefault="001C77F6" w:rsidP="006145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054926">
        <w:rPr>
          <w:rFonts w:ascii="Times New Roman" w:hAnsi="Times New Roman"/>
          <w:b/>
          <w:sz w:val="24"/>
          <w:szCs w:val="24"/>
        </w:rPr>
        <w:t>DITAL</w:t>
      </w:r>
      <w:proofErr w:type="gramStart"/>
      <w:r w:rsidR="00054926">
        <w:rPr>
          <w:rFonts w:ascii="Times New Roman" w:hAnsi="Times New Roman"/>
          <w:b/>
          <w:sz w:val="24"/>
          <w:szCs w:val="24"/>
        </w:rPr>
        <w:t xml:space="preserve"> </w:t>
      </w:r>
      <w:r w:rsidR="00095F65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054926">
        <w:rPr>
          <w:rFonts w:ascii="Times New Roman" w:hAnsi="Times New Roman"/>
          <w:b/>
          <w:sz w:val="24"/>
          <w:szCs w:val="24"/>
        </w:rPr>
        <w:t>N.</w:t>
      </w:r>
      <w:r w:rsidR="0037064F">
        <w:rPr>
          <w:rFonts w:ascii="Times New Roman" w:hAnsi="Times New Roman"/>
          <w:b/>
          <w:sz w:val="24"/>
          <w:szCs w:val="24"/>
        </w:rPr>
        <w:t>º 012</w:t>
      </w:r>
      <w:r w:rsidR="00054926">
        <w:rPr>
          <w:rFonts w:ascii="Times New Roman" w:hAnsi="Times New Roman"/>
          <w:b/>
          <w:sz w:val="24"/>
          <w:szCs w:val="24"/>
        </w:rPr>
        <w:t>/2019</w:t>
      </w:r>
    </w:p>
    <w:p w:rsidR="0037064F" w:rsidRDefault="0037064F" w:rsidP="003706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Divulga</w:t>
      </w:r>
      <w:r>
        <w:rPr>
          <w:rFonts w:ascii="Times New Roman" w:hAnsi="Times New Roman" w:cs="Times New Roman"/>
          <w:sz w:val="24"/>
          <w:szCs w:val="24"/>
        </w:rPr>
        <w:t>, para conhecimento dos candidatos e do publico, 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minuta da Cédula Eleitoral, com a respectiva relação e “números</w:t>
      </w:r>
      <w:r w:rsidR="001E111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dos candidatos e dá outras providências.</w:t>
      </w:r>
    </w:p>
    <w:p w:rsidR="0037064F" w:rsidRDefault="0037064F" w:rsidP="0037064F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7064F" w:rsidRPr="0067764D" w:rsidRDefault="0037064F" w:rsidP="003706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33C4" w:rsidRPr="0037064F" w:rsidRDefault="0037064F" w:rsidP="00370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EC00D7">
        <w:rPr>
          <w:rFonts w:ascii="Times New Roman" w:hAnsi="Times New Roman"/>
          <w:b/>
          <w:sz w:val="24"/>
          <w:szCs w:val="24"/>
        </w:rPr>
        <w:t>COMISSÃO ELEITORAL</w:t>
      </w:r>
      <w:r>
        <w:rPr>
          <w:rFonts w:ascii="Times New Roman" w:hAnsi="Times New Roman"/>
          <w:sz w:val="24"/>
          <w:szCs w:val="24"/>
        </w:rPr>
        <w:t xml:space="preserve"> nomeada pela Resolução n.º 002 de 13 de março de 2.019, do</w:t>
      </w:r>
      <w:r w:rsidRPr="0067764D">
        <w:rPr>
          <w:rFonts w:ascii="Times New Roman" w:hAnsi="Times New Roman"/>
          <w:sz w:val="24"/>
          <w:szCs w:val="24"/>
        </w:rPr>
        <w:t xml:space="preserve"> Conselho Municipal dos Direitos da Criança e do Adolescente do Município de Cosmorama/SP, Comarca de Tanabi/SP, no uso de suas atribuições </w:t>
      </w:r>
      <w:r>
        <w:rPr>
          <w:rFonts w:ascii="Times New Roman" w:hAnsi="Times New Roman"/>
          <w:sz w:val="24"/>
          <w:szCs w:val="24"/>
        </w:rPr>
        <w:t>legais, conforme preconiza a Lei Federal n.º</w:t>
      </w:r>
      <w:r w:rsidRPr="0067764D">
        <w:rPr>
          <w:rFonts w:ascii="Times New Roman" w:hAnsi="Times New Roman"/>
          <w:sz w:val="24"/>
          <w:szCs w:val="24"/>
        </w:rPr>
        <w:t xml:space="preserve"> 8.069/90 – Estatuto da Criança e do Adolescente, a Lei Municipal n.</w:t>
      </w:r>
      <w:r>
        <w:rPr>
          <w:rFonts w:ascii="Times New Roman" w:hAnsi="Times New Roman"/>
          <w:sz w:val="24"/>
          <w:szCs w:val="24"/>
        </w:rPr>
        <w:t>º</w:t>
      </w:r>
      <w:r w:rsidRPr="0067764D">
        <w:rPr>
          <w:rFonts w:ascii="Times New Roman" w:hAnsi="Times New Roman"/>
          <w:sz w:val="24"/>
          <w:szCs w:val="24"/>
        </w:rPr>
        <w:t xml:space="preserve"> 1.465/1992, alterada pela Lei n.</w:t>
      </w:r>
      <w:r>
        <w:rPr>
          <w:rFonts w:ascii="Times New Roman" w:hAnsi="Times New Roman"/>
          <w:sz w:val="24"/>
          <w:szCs w:val="24"/>
        </w:rPr>
        <w:t>º</w:t>
      </w:r>
      <w:r w:rsidRPr="0067764D">
        <w:rPr>
          <w:rFonts w:ascii="Times New Roman" w:hAnsi="Times New Roman"/>
          <w:sz w:val="24"/>
          <w:szCs w:val="24"/>
        </w:rPr>
        <w:t xml:space="preserve"> 3.078 de Abril d</w:t>
      </w:r>
      <w:r>
        <w:rPr>
          <w:rFonts w:ascii="Times New Roman" w:hAnsi="Times New Roman"/>
          <w:sz w:val="24"/>
          <w:szCs w:val="24"/>
        </w:rPr>
        <w:t>e 2015 e a Resolução n.º 001/2019 e alterações posteriores</w:t>
      </w:r>
      <w:r w:rsidRPr="0067764D">
        <w:rPr>
          <w:rFonts w:ascii="Times New Roman" w:hAnsi="Times New Roman"/>
          <w:sz w:val="24"/>
          <w:szCs w:val="24"/>
        </w:rPr>
        <w:t xml:space="preserve">, </w:t>
      </w:r>
      <w:r w:rsidRPr="000A0086">
        <w:rPr>
          <w:rFonts w:ascii="Times New Roman" w:hAnsi="Times New Roman"/>
          <w:sz w:val="24"/>
          <w:szCs w:val="24"/>
        </w:rPr>
        <w:t>divulga</w:t>
      </w:r>
      <w:r w:rsidRPr="000A0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minuta da cédula eleitoral que será utilizada para as eleições do Conselho Tutelar do Mun</w:t>
      </w:r>
      <w:r w:rsidR="001E111C">
        <w:rPr>
          <w:rFonts w:ascii="Times New Roman" w:hAnsi="Times New Roman" w:cs="Times New Roman"/>
          <w:sz w:val="24"/>
          <w:szCs w:val="24"/>
        </w:rPr>
        <w:t>icípio de Cosmorama no dia 06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E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outubro de 2.019, sendo que cada eleitor, </w:t>
      </w:r>
      <w:r w:rsidR="00A233C4">
        <w:rPr>
          <w:rFonts w:ascii="Times New Roman" w:hAnsi="Times New Roman" w:cs="Times New Roman"/>
          <w:sz w:val="24"/>
          <w:szCs w:val="24"/>
        </w:rPr>
        <w:t>munido de documento com foto e</w:t>
      </w:r>
      <w:r>
        <w:rPr>
          <w:rFonts w:ascii="Times New Roman" w:hAnsi="Times New Roman" w:cs="Times New Roman"/>
          <w:sz w:val="24"/>
          <w:szCs w:val="24"/>
        </w:rPr>
        <w:t xml:space="preserve"> título de eleitor (dispensando-s</w:t>
      </w:r>
      <w:r w:rsidR="00A233C4">
        <w:rPr>
          <w:rFonts w:ascii="Times New Roman" w:hAnsi="Times New Roman" w:cs="Times New Roman"/>
          <w:sz w:val="24"/>
          <w:szCs w:val="24"/>
        </w:rPr>
        <w:t>e a apresentação do documento com</w:t>
      </w:r>
      <w:r>
        <w:rPr>
          <w:rFonts w:ascii="Times New Roman" w:hAnsi="Times New Roman" w:cs="Times New Roman"/>
          <w:sz w:val="24"/>
          <w:szCs w:val="24"/>
        </w:rPr>
        <w:t xml:space="preserve"> foto, em caso de apresentação do E-Título), poderá votar em apenas um candidato, assinalando o campo específico, conforme minuta que segue.</w:t>
      </w:r>
    </w:p>
    <w:p w:rsidR="00F73142" w:rsidRDefault="00F73142" w:rsidP="000511E0">
      <w:pPr>
        <w:pStyle w:val="PargrafodaLista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6804"/>
      </w:tblGrid>
      <w:tr w:rsidR="00F73142" w:rsidTr="0037064F">
        <w:trPr>
          <w:trHeight w:val="4616"/>
        </w:trPr>
        <w:tc>
          <w:tcPr>
            <w:tcW w:w="6804" w:type="dxa"/>
          </w:tcPr>
          <w:p w:rsidR="00F73142" w:rsidRDefault="00F73142" w:rsidP="0040104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064F" w:rsidRDefault="0037064F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64F">
              <w:rPr>
                <w:rFonts w:ascii="Times New Roman" w:hAnsi="Times New Roman"/>
                <w:sz w:val="24"/>
                <w:szCs w:val="24"/>
              </w:rPr>
              <w:t>Escolha o seu candidato e assinale com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X</w:t>
            </w:r>
          </w:p>
          <w:p w:rsidR="0037064F" w:rsidRDefault="0037064F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-1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536"/>
            </w:tblGrid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Default="0037064F" w:rsidP="00AD6149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01. </w:t>
                  </w:r>
                  <w:r w:rsidR="00AD6149">
                    <w:rPr>
                      <w:color w:val="201F1E"/>
                    </w:rPr>
                    <w:t>Alessandro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02. </w:t>
                  </w:r>
                  <w:r w:rsidR="00F73142" w:rsidRPr="004E6739">
                    <w:rPr>
                      <w:color w:val="201F1E"/>
                    </w:rPr>
                    <w:t>Anto</w:t>
                  </w:r>
                  <w:r w:rsidR="00F73142">
                    <w:rPr>
                      <w:color w:val="201F1E"/>
                    </w:rPr>
                    <w:t>nieta Lopes</w:t>
                  </w:r>
                  <w:r w:rsidR="00A233C4">
                    <w:rPr>
                      <w:color w:val="201F1E"/>
                    </w:rPr>
                    <w:t xml:space="preserve"> 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03. </w:t>
                  </w:r>
                  <w:r w:rsidR="00F73142">
                    <w:rPr>
                      <w:color w:val="201F1E"/>
                    </w:rPr>
                    <w:t xml:space="preserve">Eder 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04. </w:t>
                  </w:r>
                  <w:r w:rsidR="00F73142">
                    <w:rPr>
                      <w:color w:val="201F1E"/>
                    </w:rPr>
                    <w:t xml:space="preserve">Janaina </w:t>
                  </w:r>
                  <w:r w:rsidR="00AD6149">
                    <w:rPr>
                      <w:color w:val="201F1E"/>
                    </w:rPr>
                    <w:t>Vila Nova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05. </w:t>
                  </w:r>
                  <w:r w:rsidR="005A096F">
                    <w:rPr>
                      <w:color w:val="201F1E"/>
                    </w:rPr>
                    <w:t>Lorena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37064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06. </w:t>
                  </w:r>
                  <w:r w:rsidR="00AD6149">
                    <w:rPr>
                      <w:color w:val="201F1E"/>
                    </w:rPr>
                    <w:t>Lucima</w:t>
                  </w:r>
                  <w:r w:rsidR="00D1636F">
                    <w:rPr>
                      <w:color w:val="201F1E"/>
                    </w:rPr>
                    <w:t>r</w:t>
                  </w:r>
                  <w:r w:rsidR="00686655">
                    <w:rPr>
                      <w:color w:val="201F1E"/>
                    </w:rPr>
                    <w:t xml:space="preserve"> da Silva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07. </w:t>
                  </w:r>
                  <w:r w:rsidR="005A096F">
                    <w:rPr>
                      <w:color w:val="201F1E"/>
                    </w:rPr>
                    <w:t>Maria Inês</w:t>
                  </w:r>
                  <w:r w:rsidR="00686655">
                    <w:rPr>
                      <w:color w:val="201F1E"/>
                    </w:rPr>
                    <w:t xml:space="preserve"> </w:t>
                  </w:r>
                  <w:proofErr w:type="spellStart"/>
                  <w:r w:rsidR="00686655">
                    <w:rPr>
                      <w:color w:val="201F1E"/>
                    </w:rPr>
                    <w:t>Gianini</w:t>
                  </w:r>
                  <w:proofErr w:type="spellEnd"/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08. </w:t>
                  </w:r>
                  <w:proofErr w:type="spellStart"/>
                  <w:r w:rsidR="00F73142" w:rsidRPr="004E6739">
                    <w:rPr>
                      <w:color w:val="201F1E"/>
                    </w:rPr>
                    <w:t>Mariellen</w:t>
                  </w:r>
                  <w:proofErr w:type="spellEnd"/>
                  <w:r w:rsidR="00F73142" w:rsidRPr="004E6739">
                    <w:rPr>
                      <w:color w:val="201F1E"/>
                    </w:rPr>
                    <w:t xml:space="preserve"> </w:t>
                  </w:r>
                  <w:r w:rsidR="00F73142">
                    <w:rPr>
                      <w:color w:val="201F1E"/>
                    </w:rPr>
                    <w:t>Maciel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09. </w:t>
                  </w:r>
                  <w:r w:rsidR="00F73142">
                    <w:rPr>
                      <w:color w:val="201F1E"/>
                    </w:rPr>
                    <w:t xml:space="preserve">Pâmela 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10. </w:t>
                  </w:r>
                  <w:proofErr w:type="spellStart"/>
                  <w:r w:rsidR="005A096F">
                    <w:rPr>
                      <w:color w:val="201F1E"/>
                    </w:rPr>
                    <w:t>Pheterson</w:t>
                  </w:r>
                  <w:proofErr w:type="spellEnd"/>
                  <w:r w:rsidR="00686655">
                    <w:rPr>
                      <w:color w:val="201F1E"/>
                    </w:rPr>
                    <w:t xml:space="preserve"> Pereira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11. </w:t>
                  </w:r>
                  <w:proofErr w:type="gramStart"/>
                  <w:r w:rsidR="00AD6149">
                    <w:rPr>
                      <w:color w:val="201F1E"/>
                    </w:rPr>
                    <w:t>Prof.</w:t>
                  </w:r>
                  <w:proofErr w:type="gramEnd"/>
                  <w:r w:rsidR="00AD6149">
                    <w:rPr>
                      <w:color w:val="201F1E"/>
                    </w:rPr>
                    <w:t xml:space="preserve"> </w:t>
                  </w:r>
                  <w:r w:rsidR="00F73142">
                    <w:rPr>
                      <w:color w:val="201F1E"/>
                    </w:rPr>
                    <w:t>Sandra Molina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12. </w:t>
                  </w:r>
                  <w:proofErr w:type="spellStart"/>
                  <w:r w:rsidR="00F73142" w:rsidRPr="004E6739">
                    <w:rPr>
                      <w:color w:val="201F1E"/>
                    </w:rPr>
                    <w:t>Sussi</w:t>
                  </w:r>
                  <w:proofErr w:type="spellEnd"/>
                  <w:r w:rsidR="00F73142" w:rsidRPr="004E6739">
                    <w:rPr>
                      <w:color w:val="201F1E"/>
                    </w:rPr>
                    <w:t xml:space="preserve"> Ma</w:t>
                  </w:r>
                  <w:r w:rsidR="00F73142">
                    <w:rPr>
                      <w:color w:val="201F1E"/>
                    </w:rPr>
                    <w:t xml:space="preserve">ra </w:t>
                  </w:r>
                </w:p>
              </w:tc>
            </w:tr>
            <w:tr w:rsidR="00F73142" w:rsidTr="0037064F">
              <w:tc>
                <w:tcPr>
                  <w:tcW w:w="421" w:type="dxa"/>
                </w:tcPr>
                <w:p w:rsidR="00F73142" w:rsidRDefault="00F73142" w:rsidP="0037064F">
                  <w:pPr>
                    <w:pStyle w:val="NormalWeb"/>
                    <w:shd w:val="clear" w:color="auto" w:fill="FFFFFF"/>
                    <w:ind w:left="284"/>
                    <w:jc w:val="center"/>
                    <w:rPr>
                      <w:color w:val="201F1E"/>
                    </w:rPr>
                  </w:pPr>
                </w:p>
              </w:tc>
              <w:tc>
                <w:tcPr>
                  <w:tcW w:w="4536" w:type="dxa"/>
                </w:tcPr>
                <w:p w:rsidR="00F73142" w:rsidRPr="004E6739" w:rsidRDefault="0037064F" w:rsidP="005A096F">
                  <w:pPr>
                    <w:pStyle w:val="NormalWeb"/>
                    <w:shd w:val="clear" w:color="auto" w:fill="FFFFFF"/>
                    <w:jc w:val="both"/>
                    <w:rPr>
                      <w:color w:val="201F1E"/>
                    </w:rPr>
                  </w:pPr>
                  <w:r>
                    <w:rPr>
                      <w:color w:val="201F1E"/>
                    </w:rPr>
                    <w:t xml:space="preserve">13. </w:t>
                  </w:r>
                  <w:proofErr w:type="spellStart"/>
                  <w:r w:rsidR="005A096F">
                    <w:rPr>
                      <w:color w:val="201F1E"/>
                    </w:rPr>
                    <w:t>Teila</w:t>
                  </w:r>
                  <w:proofErr w:type="spellEnd"/>
                  <w:r w:rsidR="005A096F">
                    <w:rPr>
                      <w:color w:val="201F1E"/>
                    </w:rPr>
                    <w:t xml:space="preserve"> </w:t>
                  </w:r>
                  <w:proofErr w:type="spellStart"/>
                  <w:r w:rsidR="005A096F">
                    <w:rPr>
                      <w:color w:val="201F1E"/>
                    </w:rPr>
                    <w:t>Luciani</w:t>
                  </w:r>
                  <w:proofErr w:type="spellEnd"/>
                </w:p>
              </w:tc>
            </w:tr>
          </w:tbl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3142" w:rsidRDefault="00F73142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064F" w:rsidRDefault="0037064F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064F" w:rsidRDefault="0037064F" w:rsidP="0037064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 VOTO É APENAS EM UM CANDIDATO!</w:t>
            </w:r>
          </w:p>
        </w:tc>
      </w:tr>
    </w:tbl>
    <w:p w:rsidR="00F73142" w:rsidRDefault="00F73142" w:rsidP="000511E0">
      <w:pPr>
        <w:pStyle w:val="PargrafodaLista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37064F" w:rsidRPr="000511E0" w:rsidRDefault="0037064F" w:rsidP="000511E0">
      <w:pPr>
        <w:pStyle w:val="PargrafodaLista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A6702" w:rsidRDefault="00C94724" w:rsidP="00C62A1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 xml:space="preserve">Cosmorama, </w:t>
      </w:r>
      <w:r w:rsidR="00686655">
        <w:rPr>
          <w:rFonts w:ascii="Times New Roman" w:hAnsi="Times New Roman" w:cs="Times New Roman"/>
          <w:sz w:val="24"/>
          <w:szCs w:val="24"/>
        </w:rPr>
        <w:t>19 de agosto</w:t>
      </w:r>
      <w:bookmarkStart w:id="0" w:name="_GoBack"/>
      <w:bookmarkEnd w:id="0"/>
      <w:r w:rsidR="0005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A5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21A5B">
        <w:rPr>
          <w:rFonts w:ascii="Times New Roman" w:hAnsi="Times New Roman" w:cs="Times New Roman"/>
          <w:sz w:val="24"/>
          <w:szCs w:val="24"/>
        </w:rPr>
        <w:t xml:space="preserve"> 2.019.</w:t>
      </w:r>
    </w:p>
    <w:p w:rsidR="009B4BAB" w:rsidRPr="00021A5B" w:rsidRDefault="009B4BAB" w:rsidP="009B4B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511" w:rsidRPr="009B4BAB" w:rsidRDefault="00BE0511" w:rsidP="009B4BAB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  <w:t>Comissão Eleitoral</w:t>
      </w:r>
    </w:p>
    <w:p w:rsidR="00BE0511" w:rsidRDefault="00BE0511" w:rsidP="00CA6702">
      <w:pPr>
        <w:pStyle w:val="SemEspaamento"/>
        <w:jc w:val="center"/>
        <w:rPr>
          <w:rFonts w:ascii="Times New Roman" w:hAnsi="Times New Roman"/>
          <w:sz w:val="24"/>
        </w:rPr>
      </w:pPr>
      <w:r w:rsidRPr="00021A5B">
        <w:rPr>
          <w:rFonts w:ascii="Times New Roman" w:hAnsi="Times New Roman"/>
          <w:sz w:val="24"/>
        </w:rPr>
        <w:t xml:space="preserve">Conselho Municipal dos Direitos da Criança e do Adolescente </w:t>
      </w:r>
      <w:r w:rsidR="00466567">
        <w:rPr>
          <w:rFonts w:ascii="Times New Roman" w:hAnsi="Times New Roman"/>
          <w:sz w:val="24"/>
        </w:rPr>
        <w:t>–</w:t>
      </w:r>
      <w:r w:rsidRPr="00021A5B">
        <w:rPr>
          <w:rFonts w:ascii="Times New Roman" w:hAnsi="Times New Roman"/>
          <w:sz w:val="24"/>
        </w:rPr>
        <w:t xml:space="preserve"> CMDCA</w:t>
      </w:r>
    </w:p>
    <w:p w:rsidR="00466567" w:rsidRDefault="00466567" w:rsidP="00CA6702">
      <w:pPr>
        <w:pStyle w:val="SemEspaamento"/>
        <w:jc w:val="center"/>
        <w:rPr>
          <w:rFonts w:ascii="Times New Roman" w:hAnsi="Times New Roman"/>
          <w:sz w:val="24"/>
        </w:rPr>
      </w:pPr>
    </w:p>
    <w:p w:rsidR="00A96200" w:rsidRDefault="00A96200" w:rsidP="001E111C">
      <w:pPr>
        <w:pStyle w:val="SemEspaamento"/>
        <w:rPr>
          <w:rFonts w:ascii="Times New Roman" w:hAnsi="Times New Roman"/>
          <w:b/>
          <w:sz w:val="24"/>
        </w:rPr>
      </w:pPr>
    </w:p>
    <w:sectPr w:rsidR="00A96200" w:rsidSect="001C77F6">
      <w:headerReference w:type="default" r:id="rId9"/>
      <w:pgSz w:w="11906" w:h="16838" w:code="9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46" w:rsidRDefault="002C3746" w:rsidP="001C77F6">
      <w:pPr>
        <w:spacing w:after="0" w:line="240" w:lineRule="auto"/>
      </w:pPr>
      <w:r>
        <w:separator/>
      </w:r>
    </w:p>
  </w:endnote>
  <w:end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46" w:rsidRDefault="002C3746" w:rsidP="001C77F6">
      <w:pPr>
        <w:spacing w:after="0" w:line="240" w:lineRule="auto"/>
      </w:pPr>
      <w:r>
        <w:separator/>
      </w:r>
    </w:p>
  </w:footnote>
  <w:foot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6" w:rsidRPr="004A4FAF" w:rsidRDefault="001C77F6" w:rsidP="001C77F6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1C77F6" w:rsidRPr="004A4FAF" w:rsidRDefault="001C77F6" w:rsidP="001C77F6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1C77F6" w:rsidRDefault="001C77F6" w:rsidP="001C77F6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1C77F6" w:rsidRDefault="001C7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FD7"/>
    <w:multiLevelType w:val="hybridMultilevel"/>
    <w:tmpl w:val="F8CC5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5BE"/>
    <w:multiLevelType w:val="multilevel"/>
    <w:tmpl w:val="1E68E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2">
    <w:nsid w:val="43F72493"/>
    <w:multiLevelType w:val="multilevel"/>
    <w:tmpl w:val="9120E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BFC14A1"/>
    <w:multiLevelType w:val="hybridMultilevel"/>
    <w:tmpl w:val="367EE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01790A"/>
    <w:rsid w:val="00021A5B"/>
    <w:rsid w:val="000511E0"/>
    <w:rsid w:val="00054926"/>
    <w:rsid w:val="00095F65"/>
    <w:rsid w:val="000B034A"/>
    <w:rsid w:val="000C7B5E"/>
    <w:rsid w:val="000E6454"/>
    <w:rsid w:val="000F4C6C"/>
    <w:rsid w:val="0014309B"/>
    <w:rsid w:val="00194B48"/>
    <w:rsid w:val="001971B3"/>
    <w:rsid w:val="001A2D4F"/>
    <w:rsid w:val="001A4241"/>
    <w:rsid w:val="001C77F6"/>
    <w:rsid w:val="001E111C"/>
    <w:rsid w:val="001F39F1"/>
    <w:rsid w:val="00227063"/>
    <w:rsid w:val="002320ED"/>
    <w:rsid w:val="002C3746"/>
    <w:rsid w:val="002D6506"/>
    <w:rsid w:val="003141A1"/>
    <w:rsid w:val="0037064F"/>
    <w:rsid w:val="00373F3E"/>
    <w:rsid w:val="003B7A9D"/>
    <w:rsid w:val="00466567"/>
    <w:rsid w:val="004B5D19"/>
    <w:rsid w:val="004E6739"/>
    <w:rsid w:val="00543676"/>
    <w:rsid w:val="00573A17"/>
    <w:rsid w:val="005A096F"/>
    <w:rsid w:val="005F0A32"/>
    <w:rsid w:val="006112EA"/>
    <w:rsid w:val="0061459D"/>
    <w:rsid w:val="006576AA"/>
    <w:rsid w:val="00686655"/>
    <w:rsid w:val="006B0E1F"/>
    <w:rsid w:val="006E3DA3"/>
    <w:rsid w:val="00737260"/>
    <w:rsid w:val="00751817"/>
    <w:rsid w:val="00754089"/>
    <w:rsid w:val="007D5FE5"/>
    <w:rsid w:val="007F37A2"/>
    <w:rsid w:val="00801566"/>
    <w:rsid w:val="0083398E"/>
    <w:rsid w:val="00843A0C"/>
    <w:rsid w:val="0085095A"/>
    <w:rsid w:val="00864EAD"/>
    <w:rsid w:val="0091336E"/>
    <w:rsid w:val="00937D83"/>
    <w:rsid w:val="009A5BF1"/>
    <w:rsid w:val="009B4BAB"/>
    <w:rsid w:val="009F1D7E"/>
    <w:rsid w:val="00A233C4"/>
    <w:rsid w:val="00A40D58"/>
    <w:rsid w:val="00A546C3"/>
    <w:rsid w:val="00A663D0"/>
    <w:rsid w:val="00A96200"/>
    <w:rsid w:val="00AD6149"/>
    <w:rsid w:val="00AF69F2"/>
    <w:rsid w:val="00B04737"/>
    <w:rsid w:val="00BD3A2D"/>
    <w:rsid w:val="00BE0511"/>
    <w:rsid w:val="00C55D04"/>
    <w:rsid w:val="00C62A10"/>
    <w:rsid w:val="00C70CFC"/>
    <w:rsid w:val="00C90F78"/>
    <w:rsid w:val="00C94724"/>
    <w:rsid w:val="00CA6702"/>
    <w:rsid w:val="00CC14E4"/>
    <w:rsid w:val="00D1636F"/>
    <w:rsid w:val="00D2088B"/>
    <w:rsid w:val="00D2327F"/>
    <w:rsid w:val="00D81846"/>
    <w:rsid w:val="00D90142"/>
    <w:rsid w:val="00E07A32"/>
    <w:rsid w:val="00E85881"/>
    <w:rsid w:val="00EB3553"/>
    <w:rsid w:val="00EC00D7"/>
    <w:rsid w:val="00EC1F56"/>
    <w:rsid w:val="00F73142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5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5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9DCD-EC46-4197-9934-2729396B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Juridito</cp:lastModifiedBy>
  <cp:revision>8</cp:revision>
  <cp:lastPrinted>2007-08-09T17:56:00Z</cp:lastPrinted>
  <dcterms:created xsi:type="dcterms:W3CDTF">2019-08-07T15:42:00Z</dcterms:created>
  <dcterms:modified xsi:type="dcterms:W3CDTF">2019-08-19T13:24:00Z</dcterms:modified>
</cp:coreProperties>
</file>